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便利店（含母婴店）</w:t>
      </w:r>
      <w:r>
        <w:rPr>
          <w:rFonts w:ascii="Times New Roman" w:hAnsi="Times New Roman" w:eastAsia="黑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876"/>
        <w:gridCol w:w="4806"/>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876"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4806"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512" w:type="dxa"/>
            <w:vMerge w:val="restart"/>
            <w:vAlign w:val="center"/>
          </w:tcPr>
          <w:p>
            <w:pPr>
              <w:snapToGrid w:val="0"/>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876"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4806"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bookmarkStart w:id="0" w:name="_GoBack"/>
            <w:bookmarkEnd w:id="0"/>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4806"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512" w:type="dxa"/>
            <w:vAlign w:val="center"/>
          </w:tcPr>
          <w:p>
            <w:pPr>
              <w:snapToGrid w:val="0"/>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876"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4806"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876"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4806"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r>
              <w:rPr>
                <w:rFonts w:ascii="Times New Roman" w:hAnsi="Times New Roman" w:eastAsia="仿宋_GB2312"/>
                <w:sz w:val="24"/>
                <w:szCs w:val="24"/>
              </w:rPr>
              <w:t>19.管理责任</w:t>
            </w:r>
          </w:p>
        </w:tc>
        <w:tc>
          <w:tcPr>
            <w:tcW w:w="3876"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continue"/>
            <w:vAlign w:val="center"/>
          </w:tcPr>
          <w:p>
            <w:pPr>
              <w:keepNext/>
              <w:keepLines/>
              <w:spacing w:before="260" w:after="260"/>
              <w:jc w:val="left"/>
              <w:rPr>
                <w:rFonts w:ascii="Times New Roman" w:hAnsi="Times New Roman" w:eastAsia="仿宋_GB2312"/>
                <w:sz w:val="24"/>
                <w:szCs w:val="24"/>
              </w:rPr>
            </w:pP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未加大食品质量安全管理投入，扣0.5分。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continue"/>
            <w:vAlign w:val="center"/>
          </w:tcPr>
          <w:p>
            <w:pPr>
              <w:keepNext/>
              <w:keepLines/>
              <w:spacing w:before="260" w:after="260"/>
              <w:jc w:val="left"/>
              <w:rPr>
                <w:rFonts w:ascii="Times New Roman" w:hAnsi="Times New Roman" w:eastAsia="仿宋_GB2312"/>
                <w:sz w:val="24"/>
                <w:szCs w:val="24"/>
              </w:rPr>
            </w:pPr>
          </w:p>
        </w:tc>
        <w:tc>
          <w:tcPr>
            <w:tcW w:w="4806"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Merge w:val="continue"/>
            <w:vAlign w:val="center"/>
          </w:tcPr>
          <w:p>
            <w:pPr>
              <w:keepNext/>
              <w:keepLines/>
              <w:spacing w:before="260" w:after="260"/>
              <w:jc w:val="left"/>
              <w:rPr>
                <w:rFonts w:ascii="Times New Roman" w:hAnsi="Times New Roman" w:eastAsia="仿宋_GB2312"/>
                <w:sz w:val="24"/>
                <w:szCs w:val="24"/>
              </w:rPr>
            </w:pPr>
          </w:p>
        </w:tc>
        <w:tc>
          <w:tcPr>
            <w:tcW w:w="4806" w:type="dxa"/>
            <w:tcBorders>
              <w:top w:val="single" w:color="auto" w:sz="6" w:space="0"/>
            </w:tcBorders>
            <w:vAlign w:val="center"/>
          </w:tcPr>
          <w:p>
            <w:pPr>
              <w:widowControl/>
              <w:snapToGrid w:val="0"/>
              <w:rPr>
                <w:rFonts w:ascii="Times New Roman" w:hAnsi="Times New Roman" w:eastAsia="黑体"/>
                <w:sz w:val="24"/>
                <w:szCs w:val="24"/>
              </w:rPr>
            </w:pPr>
            <w:r>
              <w:rPr>
                <w:rFonts w:ascii="Times New Roman" w:hAnsi="Times New Roman" w:eastAsia="仿宋_GB2312"/>
                <w:sz w:val="24"/>
                <w:szCs w:val="24"/>
              </w:rPr>
              <w:t xml:space="preserve">食品质量安全管理岗位人员的法规知识抽查合格率低于95%，扣0.5分。 </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pStyle w:val="2"/>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876" w:type="dxa"/>
            <w:vMerge w:val="restart"/>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4806"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876" w:type="dxa"/>
            <w:vMerge w:val="continue"/>
            <w:vAlign w:val="center"/>
          </w:tcPr>
          <w:p>
            <w:pPr>
              <w:jc w:val="left"/>
              <w:rPr>
                <w:rFonts w:ascii="Times New Roman" w:hAnsi="Times New Roman" w:eastAsia="仿宋_GB2312"/>
                <w:sz w:val="24"/>
                <w:szCs w:val="24"/>
              </w:rPr>
            </w:pPr>
          </w:p>
        </w:tc>
        <w:tc>
          <w:tcPr>
            <w:tcW w:w="4806"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876" w:type="dxa"/>
            <w:vMerge w:val="continue"/>
            <w:vAlign w:val="center"/>
          </w:tcPr>
          <w:p>
            <w:pPr>
              <w:jc w:val="left"/>
              <w:rPr>
                <w:rFonts w:ascii="Times New Roman" w:hAnsi="Times New Roman" w:eastAsia="仿宋_GB2312"/>
                <w:sz w:val="24"/>
                <w:szCs w:val="24"/>
              </w:rPr>
            </w:pPr>
          </w:p>
        </w:tc>
        <w:tc>
          <w:tcPr>
            <w:tcW w:w="4806"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876" w:type="dxa"/>
            <w:vMerge w:val="continue"/>
            <w:vAlign w:val="center"/>
          </w:tcPr>
          <w:p>
            <w:pPr>
              <w:jc w:val="left"/>
              <w:rPr>
                <w:rFonts w:ascii="Times New Roman" w:hAnsi="Times New Roman" w:eastAsia="仿宋_GB2312"/>
                <w:sz w:val="24"/>
                <w:szCs w:val="24"/>
              </w:rPr>
            </w:pPr>
          </w:p>
        </w:tc>
        <w:tc>
          <w:tcPr>
            <w:tcW w:w="4806"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napToGrid w:val="0"/>
              <w:spacing w:before="260" w:after="260" w:line="240" w:lineRule="exact"/>
              <w:jc w:val="center"/>
              <w:rPr>
                <w:rFonts w:ascii="Times New Roman" w:hAnsi="Times New Roman" w:eastAsia="仿宋_GB2312"/>
                <w:sz w:val="24"/>
                <w:szCs w:val="24"/>
              </w:rPr>
            </w:pPr>
          </w:p>
        </w:tc>
        <w:tc>
          <w:tcPr>
            <w:tcW w:w="3876"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（62）超市开展“放心食品超市自我承诺”，强化食品安全自查并定期向辖区市场监管部门提交食品安全自查报告，得3分；否则相应扣分。</w:t>
            </w:r>
          </w:p>
        </w:tc>
        <w:tc>
          <w:tcPr>
            <w:tcW w:w="4806"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推进“放心食品超市自我承诺”活动的，“放心食品超市”定期向辖区市场监管部门提交食品安全自查报告，不符合要求的，每发现一次，扣0.5分。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jc w:val="center"/>
              <w:rPr>
                <w:rFonts w:ascii="Times New Roman" w:hAnsi="Times New Roman" w:eastAsia="仿宋_GB2312"/>
                <w:sz w:val="24"/>
                <w:szCs w:val="24"/>
              </w:rPr>
            </w:pPr>
          </w:p>
        </w:tc>
        <w:tc>
          <w:tcPr>
            <w:tcW w:w="3876" w:type="dxa"/>
            <w:vMerge w:val="restart"/>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（63）食品经营者经营规范，无虚假夸大宣传行为，得3分；否则相应扣分。</w:t>
            </w:r>
          </w:p>
        </w:tc>
        <w:tc>
          <w:tcPr>
            <w:tcW w:w="4806" w:type="dxa"/>
            <w:tcBorders>
              <w:top w:val="single" w:color="auto" w:sz="6" w:space="0"/>
              <w:bottom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存在超范围经营保健食品的现象，扣0.5分。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存在未划定专门的区域或柜台、货架摆放、销售保健食品，以及未设立“保健食品销售专区（或专柜）”提示牌的情况，扣0.5分。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存在保健食品与普通食品混放销售的情况，扣0.5分。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经营场所及其周边存在发放、张贴、悬挂虚假宣传资料等方式推销保健食品的情况，扣0.5分。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销售人员不了解保健食品与普通食品的区别，或存在误导消费者购买的行为，扣0.5分。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876" w:type="dxa"/>
            <w:vMerge w:val="continue"/>
            <w:vAlign w:val="center"/>
          </w:tcPr>
          <w:p>
            <w:pPr>
              <w:widowControl/>
              <w:adjustRightInd w:val="0"/>
              <w:snapToGrid w:val="0"/>
              <w:jc w:val="left"/>
              <w:rPr>
                <w:rFonts w:ascii="Times New Roman" w:hAnsi="Times New Roman" w:eastAsia="仿宋_GB2312"/>
                <w:sz w:val="24"/>
                <w:szCs w:val="24"/>
              </w:rPr>
            </w:pPr>
          </w:p>
        </w:tc>
        <w:tc>
          <w:tcPr>
            <w:tcW w:w="4806"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存在其他虚假夸大宣传行为，每发现一次，扣1分。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3876"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4806"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5.“（62）超市开展“放心食品超市自我承诺”，强化食品安全自查并定期向辖区市场监管部门提交食品安全自查报告”，依据《市场监管总局办公厅关于印发&lt;食品销售者食品安全主体责任指南（试行）&gt;的通知》进行评价。</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7A04B6D"/>
    <w:rsid w:val="451C0458"/>
    <w:rsid w:val="49046A73"/>
    <w:rsid w:val="4CE70F48"/>
    <w:rsid w:val="6F743130"/>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